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4A0" w:rsidRDefault="005B54A0" w:rsidP="005B54A0">
      <w:pPr>
        <w:pStyle w:val="Nadpis2"/>
        <w:numPr>
          <w:ilvl w:val="1"/>
          <w:numId w:val="2"/>
        </w:numPr>
        <w:rPr>
          <w:rFonts w:cs="Arial"/>
          <w:sz w:val="20"/>
        </w:rPr>
      </w:pPr>
      <w:bookmarkStart w:id="0" w:name="_Toc292117709"/>
      <w:bookmarkStart w:id="1" w:name="_Toc389484470"/>
      <w:r>
        <w:rPr>
          <w:rFonts w:cs="Arial"/>
          <w:sz w:val="20"/>
        </w:rPr>
        <w:t>VYHLÁSENIE O SPRÁVE A RIADENÍ</w:t>
      </w:r>
      <w:bookmarkEnd w:id="0"/>
      <w:bookmarkEnd w:id="1"/>
    </w:p>
    <w:p w:rsidR="005B54A0" w:rsidRPr="00FC5E82" w:rsidRDefault="005B54A0" w:rsidP="005B54A0"/>
    <w:p w:rsidR="005B54A0" w:rsidRPr="00FC5E82" w:rsidRDefault="005B54A0" w:rsidP="005B54A0"/>
    <w:p w:rsidR="005B54A0" w:rsidRPr="000543D4" w:rsidRDefault="005B54A0" w:rsidP="005B54A0">
      <w:pPr>
        <w:pStyle w:val="Default"/>
        <w:tabs>
          <w:tab w:val="left" w:pos="12758"/>
        </w:tabs>
        <w:spacing w:after="803"/>
        <w:ind w:right="-158"/>
        <w:rPr>
          <w:rStyle w:val="NormalChar"/>
        </w:rPr>
      </w:pPr>
      <w:r>
        <w:rPr>
          <w:rFonts w:ascii="Arial" w:hAnsi="Arial" w:cs="Arial"/>
          <w:color w:val="auto"/>
          <w:sz w:val="20"/>
          <w:szCs w:val="20"/>
          <w:lang w:val="sk-SK"/>
        </w:rPr>
        <w:t xml:space="preserve">            </w:t>
      </w:r>
      <w:r w:rsidRPr="00446A4B">
        <w:rPr>
          <w:rFonts w:ascii="Arial" w:hAnsi="Arial" w:cs="Arial"/>
          <w:color w:val="auto"/>
          <w:sz w:val="20"/>
          <w:szCs w:val="20"/>
          <w:lang w:val="sk-SK"/>
        </w:rPr>
        <w:t xml:space="preserve">Spoločnosť </w:t>
      </w:r>
      <w:r w:rsidRPr="00446A4B">
        <w:rPr>
          <w:rFonts w:ascii="Arial" w:hAnsi="Arial" w:cs="Arial"/>
          <w:b/>
          <w:bCs/>
          <w:color w:val="auto"/>
          <w:sz w:val="20"/>
          <w:szCs w:val="20"/>
          <w:lang w:val="sk-SK"/>
        </w:rPr>
        <w:t xml:space="preserve">Kúpele Dudince, </w:t>
      </w:r>
      <w:proofErr w:type="spellStart"/>
      <w:r w:rsidRPr="00446A4B">
        <w:rPr>
          <w:rFonts w:ascii="Arial" w:hAnsi="Arial" w:cs="Arial"/>
          <w:b/>
          <w:bCs/>
          <w:color w:val="auto"/>
          <w:sz w:val="20"/>
          <w:szCs w:val="20"/>
          <w:lang w:val="sk-SK"/>
        </w:rPr>
        <w:t>a.s</w:t>
      </w:r>
      <w:proofErr w:type="spellEnd"/>
      <w:r w:rsidRPr="00446A4B">
        <w:rPr>
          <w:rFonts w:ascii="Arial" w:hAnsi="Arial" w:cs="Arial"/>
          <w:b/>
          <w:bCs/>
          <w:color w:val="auto"/>
          <w:sz w:val="20"/>
          <w:szCs w:val="20"/>
          <w:lang w:val="sk-SK"/>
        </w:rPr>
        <w:t xml:space="preserve">. </w:t>
      </w:r>
      <w:r w:rsidRPr="00446A4B">
        <w:rPr>
          <w:rFonts w:ascii="Arial" w:hAnsi="Arial" w:cs="Arial"/>
          <w:color w:val="auto"/>
          <w:sz w:val="20"/>
          <w:szCs w:val="20"/>
          <w:lang w:val="sk-SK"/>
        </w:rPr>
        <w:t xml:space="preserve">a členovia jej orgánov, prihlásiac sa ku všeobecnému zvyšovaniu úrovne </w:t>
      </w:r>
      <w:proofErr w:type="spellStart"/>
      <w:r w:rsidRPr="00446A4B">
        <w:rPr>
          <w:rFonts w:ascii="Arial" w:hAnsi="Arial" w:cs="Arial"/>
          <w:i/>
          <w:iCs/>
          <w:color w:val="auto"/>
          <w:sz w:val="20"/>
          <w:szCs w:val="20"/>
          <w:lang w:val="sk-SK"/>
        </w:rPr>
        <w:t>corporate</w:t>
      </w:r>
      <w:proofErr w:type="spellEnd"/>
      <w:r w:rsidRPr="00446A4B">
        <w:rPr>
          <w:rFonts w:ascii="Arial" w:hAnsi="Arial" w:cs="Arial"/>
          <w:i/>
          <w:iCs/>
          <w:color w:val="auto"/>
          <w:sz w:val="20"/>
          <w:szCs w:val="20"/>
          <w:lang w:val="sk-SK"/>
        </w:rPr>
        <w:t xml:space="preserve"> </w:t>
      </w:r>
      <w:proofErr w:type="spellStart"/>
      <w:r w:rsidRPr="00446A4B">
        <w:rPr>
          <w:rFonts w:ascii="Arial" w:hAnsi="Arial" w:cs="Arial"/>
          <w:i/>
          <w:iCs/>
          <w:color w:val="auto"/>
          <w:sz w:val="20"/>
          <w:szCs w:val="20"/>
          <w:lang w:val="sk-SK"/>
        </w:rPr>
        <w:t>governance</w:t>
      </w:r>
      <w:proofErr w:type="spellEnd"/>
      <w:r w:rsidRPr="00446A4B">
        <w:rPr>
          <w:rFonts w:ascii="Arial" w:hAnsi="Arial" w:cs="Arial"/>
          <w:i/>
          <w:iCs/>
          <w:color w:val="auto"/>
          <w:sz w:val="20"/>
          <w:szCs w:val="20"/>
          <w:lang w:val="sk-SK"/>
        </w:rPr>
        <w:t xml:space="preserve">, </w:t>
      </w:r>
      <w:r w:rsidRPr="00446A4B">
        <w:rPr>
          <w:rFonts w:ascii="Arial" w:hAnsi="Arial" w:cs="Arial"/>
          <w:color w:val="auto"/>
          <w:sz w:val="20"/>
          <w:szCs w:val="20"/>
          <w:lang w:val="sk-SK"/>
        </w:rPr>
        <w:t xml:space="preserve">prijali </w:t>
      </w:r>
      <w:r w:rsidRPr="00446A4B">
        <w:rPr>
          <w:rFonts w:ascii="Arial" w:hAnsi="Arial" w:cs="Arial"/>
          <w:b/>
          <w:bCs/>
          <w:color w:val="auto"/>
          <w:sz w:val="20"/>
          <w:szCs w:val="20"/>
          <w:lang w:val="sk-SK"/>
        </w:rPr>
        <w:t>Kódex správy a riadenia spolo</w:t>
      </w:r>
      <w:r w:rsidRPr="00446A4B">
        <w:rPr>
          <w:rFonts w:ascii="Arial" w:hAnsi="Arial" w:cs="Arial"/>
          <w:color w:val="auto"/>
          <w:sz w:val="20"/>
          <w:szCs w:val="20"/>
          <w:lang w:val="sk-SK"/>
        </w:rPr>
        <w:t>č</w:t>
      </w:r>
      <w:r w:rsidRPr="00446A4B">
        <w:rPr>
          <w:rFonts w:ascii="Arial" w:hAnsi="Arial" w:cs="Arial"/>
          <w:b/>
          <w:bCs/>
          <w:color w:val="auto"/>
          <w:sz w:val="20"/>
          <w:szCs w:val="20"/>
          <w:lang w:val="sk-SK"/>
        </w:rPr>
        <w:t>ností na Slovensku</w:t>
      </w:r>
      <w:r w:rsidRPr="00446A4B">
        <w:rPr>
          <w:rFonts w:ascii="Arial" w:hAnsi="Arial" w:cs="Arial"/>
          <w:color w:val="auto"/>
          <w:sz w:val="20"/>
          <w:szCs w:val="20"/>
          <w:lang w:val="sk-SK"/>
        </w:rPr>
        <w:t>, ktorý tvorí prílohu tohto vyhlásenia (ďalej len ako “</w:t>
      </w:r>
      <w:r w:rsidRPr="00446A4B">
        <w:rPr>
          <w:rFonts w:ascii="Arial" w:hAnsi="Arial" w:cs="Arial"/>
          <w:b/>
          <w:bCs/>
          <w:i/>
          <w:iCs/>
          <w:color w:val="auto"/>
          <w:sz w:val="20"/>
          <w:szCs w:val="20"/>
          <w:lang w:val="sk-SK"/>
        </w:rPr>
        <w:t>Kódex</w:t>
      </w:r>
      <w:r w:rsidRPr="00446A4B">
        <w:rPr>
          <w:rFonts w:ascii="Arial" w:hAnsi="Arial" w:cs="Arial"/>
          <w:color w:val="auto"/>
          <w:sz w:val="20"/>
          <w:szCs w:val="20"/>
          <w:lang w:val="sk-SK"/>
        </w:rPr>
        <w:t xml:space="preserve">“), a ktorý je zverejnený na internetovej stránke CECGA: </w:t>
      </w:r>
      <w:r w:rsidRPr="00446A4B">
        <w:rPr>
          <w:rFonts w:ascii="Arial" w:hAnsi="Arial" w:cs="Arial"/>
          <w:color w:val="0000FF"/>
          <w:sz w:val="20"/>
          <w:szCs w:val="20"/>
          <w:u w:val="single"/>
          <w:lang w:val="sk-SK"/>
        </w:rPr>
        <w:t>http://www.cecga.org/files/kodex_pre_web.pdf</w:t>
      </w:r>
      <w:r w:rsidRPr="00446A4B">
        <w:rPr>
          <w:rFonts w:ascii="Arial" w:hAnsi="Arial" w:cs="Arial"/>
          <w:sz w:val="20"/>
          <w:szCs w:val="20"/>
          <w:lang w:val="sk-SK"/>
        </w:rPr>
        <w:t xml:space="preserve">. S cieľom (i) prihlásiť sa k plneniu a dodržiavaniu jednotlivých zásad Kódexu, (ii) poukázať na spôsob ich plnenia a súčasne (iii) vydať vyhlásenie o správe a riadení podľa § 20 ods. 6 zákona č. 431/2002 Z. z. o účtovníctve v znení neskorších predpisov (ďalej aj len </w:t>
      </w:r>
      <w:proofErr w:type="spellStart"/>
      <w:r w:rsidRPr="000543D4">
        <w:rPr>
          <w:rStyle w:val="NormalChar"/>
          <w:rFonts w:ascii="Arial" w:hAnsi="Arial" w:cs="Arial"/>
        </w:rPr>
        <w:t>ako</w:t>
      </w:r>
      <w:proofErr w:type="spellEnd"/>
      <w:r w:rsidRPr="000543D4">
        <w:rPr>
          <w:rStyle w:val="NormalChar"/>
          <w:rFonts w:ascii="Arial" w:hAnsi="Arial" w:cs="Arial"/>
        </w:rPr>
        <w:t xml:space="preserve"> “Zákon“) </w:t>
      </w:r>
      <w:proofErr w:type="spellStart"/>
      <w:r w:rsidRPr="000543D4">
        <w:rPr>
          <w:rStyle w:val="NormalChar"/>
          <w:rFonts w:ascii="Arial" w:hAnsi="Arial" w:cs="Arial"/>
        </w:rPr>
        <w:t>predkladá</w:t>
      </w:r>
      <w:proofErr w:type="spellEnd"/>
      <w:r w:rsidRPr="000543D4">
        <w:rPr>
          <w:rStyle w:val="NormalChar"/>
          <w:rFonts w:ascii="Arial" w:hAnsi="Arial" w:cs="Arial"/>
        </w:rPr>
        <w:t xml:space="preserve"> toto </w:t>
      </w:r>
      <w:proofErr w:type="spellStart"/>
      <w:r w:rsidRPr="000543D4">
        <w:rPr>
          <w:rStyle w:val="NormalChar"/>
          <w:rFonts w:ascii="Arial" w:hAnsi="Arial" w:cs="Arial"/>
        </w:rPr>
        <w:t>Vyhlásenie</w:t>
      </w:r>
      <w:proofErr w:type="spellEnd"/>
      <w:r w:rsidRPr="000543D4">
        <w:rPr>
          <w:rStyle w:val="NormalChar"/>
        </w:rPr>
        <w:t>:</w:t>
      </w:r>
    </w:p>
    <w:p w:rsidR="005B54A0" w:rsidRPr="00FC5E82" w:rsidRDefault="005B54A0" w:rsidP="005B54A0"/>
    <w:p w:rsidR="005B54A0" w:rsidRPr="003A5CCE" w:rsidRDefault="005B54A0" w:rsidP="005B54A0">
      <w:pPr>
        <w:jc w:val="both"/>
        <w:rPr>
          <w:rFonts w:cs="Arial"/>
          <w:b/>
          <w:vertAlign w:val="superscript"/>
        </w:rPr>
      </w:pPr>
      <w:r w:rsidRPr="00FF3BBA">
        <w:rPr>
          <w:rFonts w:cs="Arial"/>
          <w:b/>
        </w:rPr>
        <w:t xml:space="preserve">I.PRINCÍP : PRÁVA AKCIONÁROV </w:t>
      </w:r>
      <w:r w:rsidRPr="00FF3BBA">
        <w:rPr>
          <w:rFonts w:cs="Arial"/>
          <w:b/>
          <w:sz w:val="22"/>
        </w:rPr>
        <w:t>A</w:t>
      </w:r>
      <w:r w:rsidRPr="00FF3BBA">
        <w:rPr>
          <w:rFonts w:cs="Arial"/>
          <w:b/>
        </w:rPr>
        <w:t> KĽÚČOVÉ FUNKCIE VLASTNÍCTVA</w:t>
      </w:r>
      <w:r w:rsidRPr="003A5CCE">
        <w:rPr>
          <w:rFonts w:cs="Arial"/>
          <w:b/>
          <w:vertAlign w:val="superscript"/>
        </w:rPr>
        <w:t>1</w:t>
      </w:r>
    </w:p>
    <w:p w:rsidR="005B54A0" w:rsidRPr="00FF3BBA" w:rsidRDefault="005B54A0" w:rsidP="005B54A0">
      <w:pPr>
        <w:jc w:val="both"/>
        <w:rPr>
          <w:rFonts w:cs="Arial"/>
          <w:b/>
        </w:rPr>
      </w:pPr>
      <w:r w:rsidRPr="00FF3BBA">
        <w:rPr>
          <w:rFonts w:cs="Arial"/>
          <w:b/>
        </w:rPr>
        <w:t>Rámec správy a riadenia spoločnosti musí ochraňovať a uľahčovať výkon práv akcionárov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369"/>
        <w:gridCol w:w="851"/>
        <w:gridCol w:w="5528"/>
      </w:tblGrid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FF3BB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A. Základné práva akcionárov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34B9A" w:rsidRDefault="005B54A0" w:rsidP="00F83AA9">
            <w:pPr>
              <w:pStyle w:val="Default"/>
              <w:ind w:right="-392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34B9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</w:t>
            </w:r>
            <w:r w:rsidRPr="00134B9A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134B9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a /nesp</w:t>
            </w:r>
            <w:r w:rsidRPr="00134B9A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134B9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a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34B9A" w:rsidRDefault="005B54A0" w:rsidP="00F83AA9">
            <w:pPr>
              <w:pStyle w:val="Default"/>
              <w:ind w:right="-392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134B9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spôsob splnenia/dôvody nesplnenia (stru</w:t>
            </w:r>
            <w:r w:rsidRPr="00134B9A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č</w:t>
            </w:r>
            <w:r w:rsidRPr="00134B9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ný popis)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1. registrácia akcií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Cenné papiere sú registrované v Centrálnom depozitári CP, zaknihované akcie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2. právo na prevod akcií/obmedzenie prevoditeľnosti</w:t>
            </w:r>
            <w:r w:rsidRPr="00134B9A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>2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Ide o verejne obchodovateľné cenné papiere - akcie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3. právo na informácie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39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Akcionári sú informovaní prostredníctvom valného zhromaždenia, zasadnutí dozornej rady, zverejňovaním polročných, ročných správ, vyhlásení riadiaceho orgánu a štatistických výkazov</w:t>
            </w:r>
          </w:p>
        </w:tc>
      </w:tr>
    </w:tbl>
    <w:p w:rsidR="005B54A0" w:rsidRPr="00774798" w:rsidRDefault="005B54A0" w:rsidP="005B54A0">
      <w:pPr>
        <w:pStyle w:val="Default"/>
        <w:rPr>
          <w:rFonts w:ascii="Arial" w:hAnsi="Arial" w:cs="Arial"/>
          <w:color w:val="auto"/>
          <w:lang w:val="sk-SK"/>
        </w:rPr>
      </w:pPr>
    </w:p>
    <w:p w:rsidR="005B54A0" w:rsidRPr="00774798" w:rsidRDefault="005B54A0" w:rsidP="005B54A0">
      <w:pPr>
        <w:pStyle w:val="Default"/>
        <w:spacing w:line="231" w:lineRule="atLeast"/>
        <w:rPr>
          <w:rFonts w:ascii="Arial" w:hAnsi="Arial" w:cs="Arial"/>
          <w:color w:val="auto"/>
          <w:sz w:val="13"/>
          <w:szCs w:val="13"/>
          <w:lang w:val="sk-SK"/>
        </w:rPr>
      </w:pPr>
      <w:r w:rsidRPr="00774798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1 </w:t>
      </w:r>
      <w:r w:rsidRPr="00774798">
        <w:rPr>
          <w:rFonts w:ascii="Arial" w:hAnsi="Arial" w:cs="Arial"/>
          <w:color w:val="auto"/>
          <w:sz w:val="13"/>
          <w:szCs w:val="13"/>
          <w:lang w:val="sk-SK"/>
        </w:rPr>
        <w:t xml:space="preserve">§ 20 ods. 6 písm. e) Zákona </w:t>
      </w:r>
      <w:r w:rsidRPr="00774798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2 </w:t>
      </w:r>
      <w:r w:rsidRPr="00774798">
        <w:rPr>
          <w:rFonts w:ascii="Arial" w:hAnsi="Arial" w:cs="Arial"/>
          <w:color w:val="auto"/>
          <w:sz w:val="13"/>
          <w:szCs w:val="13"/>
          <w:lang w:val="sk-SK"/>
        </w:rPr>
        <w:t xml:space="preserve">§ 20 ods. 7 písm. b) Zákona </w:t>
      </w:r>
      <w:r w:rsidRPr="00774798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3 </w:t>
      </w:r>
      <w:r w:rsidRPr="00774798">
        <w:rPr>
          <w:rFonts w:ascii="Arial" w:hAnsi="Arial" w:cs="Arial"/>
          <w:color w:val="auto"/>
          <w:sz w:val="13"/>
          <w:szCs w:val="13"/>
          <w:lang w:val="sk-SK"/>
        </w:rPr>
        <w:t xml:space="preserve">§ 20 ods. 7 písm. f) Zákona </w:t>
      </w:r>
      <w:r w:rsidRPr="00774798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4 </w:t>
      </w:r>
      <w:r w:rsidRPr="00774798">
        <w:rPr>
          <w:rFonts w:ascii="Arial" w:hAnsi="Arial" w:cs="Arial"/>
          <w:color w:val="auto"/>
          <w:sz w:val="13"/>
          <w:szCs w:val="13"/>
          <w:lang w:val="sk-SK"/>
        </w:rPr>
        <w:t xml:space="preserve">§ 20 ods. 7 písm. h) Zákona </w:t>
      </w:r>
    </w:p>
    <w:tbl>
      <w:tblPr>
        <w:tblW w:w="9748" w:type="dxa"/>
        <w:tblLook w:val="0000" w:firstRow="0" w:lastRow="0" w:firstColumn="0" w:lastColumn="0" w:noHBand="0" w:noVBand="0"/>
      </w:tblPr>
      <w:tblGrid>
        <w:gridCol w:w="3369"/>
        <w:gridCol w:w="851"/>
        <w:gridCol w:w="5528"/>
      </w:tblGrid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3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4. právo účasti a rozhodovania na valnom zhromaždení, obmedzenie hlasovacieho práva</w:t>
            </w:r>
            <w:r w:rsidRPr="00134B9A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>3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Všetky akcie sú emitované na doručiteľa, akcionári sú informovaní uverejnením oznámenia o konaní valného zhromaždenia, neexistujú žiadne obmedzenia hlasovacích práv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5. aktívne volebné právo akcionára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Volebné právo je zabezpečené a garantované v stanovách spoločnosti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6. právo na podiel na zisku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Predstavenstvo riadne informuje akcionárov, členovia Výboru pre audit sa zúčastňujú zasadnutí valného zhromaždenia, uplatňuje sa zásada rovnakého zaobchádzania s akcionármi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B. Právo ú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asti na rozhodovaní o podstatných zmenách v spolo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nosti a na prístup k informáciám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9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1. stanovy a iné interné predpisy</w:t>
            </w:r>
            <w:r w:rsidRPr="00134B9A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>4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Pri zmenách stanov sú vždy k dispozícii a včas všetkým akcionárom, interné predpisy sú elektronicky evidované a prístupné všetkým zamestnancom a v prípade záujmu aj akcionárom. Máme zavedený integrovaný systém riadenia v súlade s medzinárodnými normami ISO.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2. vydávanie nových emisií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Schvaľuje výhradne valné zhromaždenie v súlade so zákonom a stanovami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lastRenderedPageBreak/>
              <w:t xml:space="preserve">3. mimoriadne transakcie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Doteraz sme nevykonávali také transakcie- transfery aktív, ktoré by smerovali k predaju spoločnosti. Predstavenstvo vykonáva bežné obchodné a finančné transakcie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,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o ktorých informuje minimálne 1x za rok aj akcionárov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4. iné právomoci valného zhromaždenia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Všetky právomoci sú v súlade s ustanoveniami obchodného zákonníka.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C. Právo podie</w:t>
            </w:r>
            <w:r w:rsidRPr="00BA6453">
              <w:rPr>
                <w:rFonts w:ascii="Arial" w:hAnsi="Arial" w:cs="Arial"/>
                <w:b/>
                <w:sz w:val="20"/>
                <w:szCs w:val="20"/>
                <w:lang w:val="sk-SK"/>
              </w:rPr>
              <w:t>ľ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a</w:t>
            </w:r>
            <w:r w:rsidRPr="00BA6453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ť 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sa na rozhodovaní o systémoch odme</w:t>
            </w:r>
            <w:r w:rsidRPr="00BA6453">
              <w:rPr>
                <w:rFonts w:ascii="Arial" w:hAnsi="Arial" w:cs="Arial"/>
                <w:b/>
                <w:sz w:val="20"/>
                <w:szCs w:val="20"/>
                <w:lang w:val="sk-SK"/>
              </w:rPr>
              <w:t>ň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ovania </w:t>
            </w:r>
            <w:r w:rsidRPr="00BA6453">
              <w:rPr>
                <w:rFonts w:ascii="Arial" w:hAnsi="Arial" w:cs="Arial"/>
                <w:b/>
                <w:sz w:val="20"/>
                <w:szCs w:val="20"/>
                <w:lang w:val="sk-SK"/>
              </w:rPr>
              <w:t>č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lenov orgánov a manažmentu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1. rozhodovanie o stratégii odmeňovania a jej zmenách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O odmeňovaní členov orgánov rozhoduje výhradne valné zhromaždenie v súlade s uzavretými zmluvami o výkone funkcie. Stratégia odmeňovania je daná prenesením záväzného limitu pre objem osobných nákladov – koeficient osobných nákladov k dosahovaným tržbám. Valné zhromaždenie a dozorná rada má kontrolu nad plnením tohto kritéria. </w:t>
            </w:r>
          </w:p>
        </w:tc>
      </w:tr>
    </w:tbl>
    <w:p w:rsidR="005B54A0" w:rsidRPr="00774798" w:rsidRDefault="005B54A0" w:rsidP="005B54A0">
      <w:pPr>
        <w:pStyle w:val="Default"/>
        <w:rPr>
          <w:rFonts w:ascii="Arial" w:hAnsi="Arial" w:cs="Arial"/>
          <w:color w:val="auto"/>
          <w:lang w:val="sk-SK"/>
        </w:rPr>
      </w:pPr>
    </w:p>
    <w:tbl>
      <w:tblPr>
        <w:tblW w:w="9748" w:type="dxa"/>
        <w:tblLook w:val="0000" w:firstRow="0" w:lastRow="0" w:firstColumn="0" w:lastColumn="0" w:noHBand="0" w:noVBand="0"/>
      </w:tblPr>
      <w:tblGrid>
        <w:gridCol w:w="3369"/>
        <w:gridCol w:w="851"/>
        <w:gridCol w:w="5528"/>
      </w:tblGrid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3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2. rozhodovanie o odmenách vo forme akcií a o iných motivačných programoch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Doteraz valné zhromaždenie nerozhodlo o takýchto formách motivácie či odmeňovania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3. dostatok informácií o odmeňovaní viazanom na akcie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Neuplatňuje sa odmeňovanie viazané na akcie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D. Právo ú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asti a hlasovania na valnom zhromaždení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1. včasné informácie o valnom zhromaždení a programe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Preukázateľne plníme včas, evidencia oznámení o konaní VZ zverejnená v tlači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2. právo klásť otázky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Preukázateľne sa realizuje – dôkaz zápisnice z valných zhromaždení  s priebehom diskusie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3. právo na vyjadrenie svojho názoru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V rámci rokovaní valného zhromaždenia sú akcionári vyzývaní predsedom valného zhromaždenia na predkladanie návrhov, pripomienok a podobne.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4. hlasovanie osobne alebo v zastúpení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Vedie sa podrobná evidencia o hlasovaní a zastúpení akcionárov, uchovávajú sa hlasovacie lístky aj plné moci na zastúpenie akcionárov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5. informácie o činnosti valného zhromaždenia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Akcionárom sa zasielajú zápisnice aj uznesenia z valného zhromaždenia a v prípade vyžiadania aj iné informácie.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E. Štruktúra vlastníctva a stupe</w:t>
            </w:r>
            <w:r w:rsidRPr="00BA6453">
              <w:rPr>
                <w:rFonts w:ascii="Arial" w:hAnsi="Arial" w:cs="Arial"/>
                <w:b/>
                <w:sz w:val="20"/>
                <w:szCs w:val="20"/>
                <w:lang w:val="sk-SK"/>
              </w:rPr>
              <w:t>ň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kontroly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27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1. dohody medzi majiteľmi cenných papierov, ktoré sú známe a ktoré môžu viesť k obmedzeniam prevoditeľnosti cenných papierov a obmedzeniam hlasovacích práv</w:t>
            </w:r>
            <w:r w:rsidRPr="00134B9A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Nie je nám známa existencia žiadnych dohôd medzi akcionármi – (pyramídové štruktúry a podobne),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prípadne s predkupnými právami a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nemáme žiadnu vedomosť o dohodách, ktoré by obmedzovali hlasovacie práva iných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.</w:t>
            </w:r>
          </w:p>
        </w:tc>
      </w:tr>
    </w:tbl>
    <w:p w:rsidR="005B54A0" w:rsidRPr="00134B9A" w:rsidRDefault="005B54A0" w:rsidP="005B54A0">
      <w:pPr>
        <w:pStyle w:val="CM1"/>
        <w:ind w:right="202"/>
        <w:rPr>
          <w:rFonts w:ascii="Arial" w:hAnsi="Arial" w:cs="Arial"/>
          <w:sz w:val="13"/>
          <w:szCs w:val="13"/>
        </w:rPr>
      </w:pPr>
      <w:r w:rsidRPr="00134B9A">
        <w:rPr>
          <w:rFonts w:ascii="Arial" w:hAnsi="Arial" w:cs="Arial"/>
          <w:position w:val="9"/>
          <w:sz w:val="13"/>
          <w:szCs w:val="13"/>
          <w:vertAlign w:val="superscript"/>
        </w:rPr>
        <w:t xml:space="preserve">5 </w:t>
      </w:r>
      <w:r w:rsidRPr="00134B9A">
        <w:rPr>
          <w:rFonts w:ascii="Arial" w:hAnsi="Arial" w:cs="Arial"/>
          <w:sz w:val="13"/>
          <w:szCs w:val="13"/>
        </w:rPr>
        <w:t xml:space="preserve">§20 </w:t>
      </w:r>
      <w:proofErr w:type="spellStart"/>
      <w:r w:rsidRPr="00134B9A">
        <w:rPr>
          <w:rFonts w:ascii="Arial" w:hAnsi="Arial" w:cs="Arial"/>
          <w:sz w:val="13"/>
          <w:szCs w:val="13"/>
        </w:rPr>
        <w:t>ods</w:t>
      </w:r>
      <w:proofErr w:type="spellEnd"/>
      <w:r w:rsidRPr="00134B9A">
        <w:rPr>
          <w:rFonts w:ascii="Arial" w:hAnsi="Arial" w:cs="Arial"/>
          <w:sz w:val="13"/>
          <w:szCs w:val="13"/>
        </w:rPr>
        <w:t xml:space="preserve">. 7 písm. g) Zákona </w:t>
      </w:r>
    </w:p>
    <w:p w:rsidR="005B54A0" w:rsidRDefault="005B54A0" w:rsidP="005B54A0">
      <w:pPr>
        <w:pStyle w:val="CM1"/>
        <w:ind w:right="11588"/>
        <w:rPr>
          <w:rFonts w:ascii="Arial" w:hAnsi="Arial" w:cs="Arial"/>
          <w:sz w:val="20"/>
          <w:szCs w:val="20"/>
          <w:lang w:val="sk-SK"/>
        </w:rPr>
      </w:pPr>
    </w:p>
    <w:p w:rsidR="005B54A0" w:rsidRPr="006B1A3A" w:rsidRDefault="005B54A0" w:rsidP="005B54A0">
      <w:pPr>
        <w:pStyle w:val="Default"/>
        <w:rPr>
          <w:lang w:val="sk-SK"/>
        </w:rPr>
      </w:pPr>
    </w:p>
    <w:tbl>
      <w:tblPr>
        <w:tblW w:w="9748" w:type="dxa"/>
        <w:tblLook w:val="0000" w:firstRow="0" w:lastRow="0" w:firstColumn="0" w:lastColumn="0" w:noHBand="0" w:noVBand="0"/>
      </w:tblPr>
      <w:tblGrid>
        <w:gridCol w:w="3369"/>
        <w:gridCol w:w="851"/>
        <w:gridCol w:w="5528"/>
      </w:tblGrid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3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lastRenderedPageBreak/>
              <w:t>2. majitelia cenných papierov s osobitnými právami kontroly a opis týchto práv</w:t>
            </w:r>
            <w:r w:rsidRPr="00134B9A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>6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Nie sú emitované žiadne akcie s osobitnými právami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F. Možnosti získania kontroly </w:t>
            </w:r>
            <w:r w:rsidRPr="00134B9A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nad spolo</w:t>
            </w:r>
            <w:r w:rsidRPr="00134B9A">
              <w:rPr>
                <w:rFonts w:ascii="Arial" w:hAnsi="Arial" w:cs="Arial"/>
                <w:b/>
                <w:sz w:val="20"/>
                <w:szCs w:val="20"/>
                <w:lang w:val="sk-SK"/>
              </w:rPr>
              <w:t>č</w:t>
            </w:r>
            <w:r w:rsidRPr="00134B9A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nos</w:t>
            </w:r>
            <w:r w:rsidRPr="00134B9A">
              <w:rPr>
                <w:rFonts w:ascii="Arial" w:hAnsi="Arial" w:cs="Arial"/>
                <w:b/>
                <w:sz w:val="20"/>
                <w:szCs w:val="20"/>
                <w:lang w:val="sk-SK"/>
              </w:rPr>
              <w:t>ť</w:t>
            </w:r>
            <w:r w:rsidRPr="00134B9A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ou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1. transparentnosť prevzatia spoločnosti a iných mimoriadnych transakcií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Takéto transakcie sa doteraz nerealizovali. Osobitné postupy a pravidlá pre mimoriadne transakcie neexistujú, neplánujú sa realizovať žiadne mimoriadne transakcie, len tie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,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ktoré sú v súlade s platným právnym poriadkom a stanovami spoločnosti.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2. nástroje obrany proti prevzatiu a informácie o existencii potenciálnych obranných nástrojoch v spoločnosti </w:t>
            </w:r>
            <w:r w:rsidRPr="00134B9A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Nástroje na ochranu manažmentu pred zodpovednosťou neexistujú.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G. Zjednodušenie výkonu práv akcionára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1. zverejnenie politiky inštitucionálnych investorov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Politiky a ciele sú definované  na základe dohody medzi manažmentom a akcionármi a sú zverejnené v súlade s medzinárodnými normami ISO.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Plne dodržiavame pravidlá Burzy cenných papierov. Nemáme vytvorenú osobitnú politiku okrem pravidiel, ktoré sú záväzné z hľadiska obchodovania na BCP.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2. zverejnenie spôsobu riešenia konfliktov záujmov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Nemáme žiadne informácie o konflikte záujmov medzi akcionármi.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H. Možnos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ť 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vzájomných konzultácií akcionárov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</w:tbl>
    <w:p w:rsidR="005B54A0" w:rsidRPr="00774798" w:rsidRDefault="005B54A0" w:rsidP="005B54A0">
      <w:pPr>
        <w:pStyle w:val="Default"/>
        <w:rPr>
          <w:rFonts w:ascii="Arial" w:hAnsi="Arial" w:cs="Arial"/>
          <w:color w:val="auto"/>
          <w:lang w:val="sk-SK"/>
        </w:rPr>
      </w:pPr>
    </w:p>
    <w:p w:rsidR="005B54A0" w:rsidRPr="00134B9A" w:rsidRDefault="005B54A0" w:rsidP="005B54A0">
      <w:pPr>
        <w:pStyle w:val="Default"/>
        <w:spacing w:line="231" w:lineRule="atLeast"/>
        <w:ind w:right="-338"/>
        <w:rPr>
          <w:rFonts w:ascii="Arial" w:hAnsi="Arial" w:cs="Arial"/>
          <w:color w:val="auto"/>
          <w:sz w:val="13"/>
          <w:szCs w:val="13"/>
          <w:lang w:val="sk-SK"/>
        </w:rPr>
      </w:pPr>
      <w:r w:rsidRPr="00134B9A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6 </w:t>
      </w:r>
      <w:r w:rsidRPr="00134B9A">
        <w:rPr>
          <w:rFonts w:ascii="Arial" w:hAnsi="Arial" w:cs="Arial"/>
          <w:color w:val="auto"/>
          <w:sz w:val="13"/>
          <w:szCs w:val="13"/>
          <w:lang w:val="sk-SK"/>
        </w:rPr>
        <w:t xml:space="preserve">§ 20 ods. 7 písm. d) Zákona </w:t>
      </w:r>
      <w:r w:rsidRPr="00134B9A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7 </w:t>
      </w:r>
      <w:r w:rsidRPr="00134B9A">
        <w:rPr>
          <w:rFonts w:ascii="Arial" w:hAnsi="Arial" w:cs="Arial"/>
          <w:color w:val="auto"/>
          <w:sz w:val="13"/>
          <w:szCs w:val="13"/>
          <w:lang w:val="sk-SK"/>
        </w:rPr>
        <w:t xml:space="preserve">§ 20 ods. 7 písm. j) a k) Zákona </w:t>
      </w:r>
      <w:r w:rsidRPr="00134B9A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8 </w:t>
      </w:r>
      <w:r w:rsidRPr="00134B9A">
        <w:rPr>
          <w:rFonts w:ascii="Arial" w:hAnsi="Arial" w:cs="Arial"/>
          <w:color w:val="auto"/>
          <w:sz w:val="13"/>
          <w:szCs w:val="13"/>
          <w:lang w:val="sk-SK"/>
        </w:rPr>
        <w:t xml:space="preserve">§ 20 ods. 7 písm. a) a c) Zákona </w:t>
      </w:r>
      <w:r w:rsidRPr="00134B9A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9 </w:t>
      </w:r>
      <w:r w:rsidRPr="00134B9A">
        <w:rPr>
          <w:rFonts w:ascii="Arial" w:hAnsi="Arial" w:cs="Arial"/>
          <w:color w:val="auto"/>
          <w:sz w:val="13"/>
          <w:szCs w:val="13"/>
          <w:lang w:val="sk-SK"/>
        </w:rPr>
        <w:t xml:space="preserve">§ 20 ods. 7 písm. h) Zákona </w:t>
      </w:r>
    </w:p>
    <w:p w:rsidR="005B54A0" w:rsidRDefault="005B54A0" w:rsidP="005B54A0">
      <w:pPr>
        <w:pStyle w:val="Default"/>
        <w:spacing w:line="231" w:lineRule="atLeast"/>
        <w:ind w:right="-338"/>
        <w:rPr>
          <w:rFonts w:ascii="Arial" w:hAnsi="Arial" w:cs="Arial"/>
          <w:color w:val="auto"/>
          <w:sz w:val="20"/>
          <w:szCs w:val="20"/>
          <w:lang w:val="sk-SK"/>
        </w:rPr>
      </w:pPr>
    </w:p>
    <w:p w:rsidR="005B54A0" w:rsidRPr="003A5CCE" w:rsidRDefault="005B54A0" w:rsidP="005B54A0">
      <w:pPr>
        <w:pStyle w:val="Default"/>
        <w:spacing w:line="231" w:lineRule="atLeast"/>
        <w:ind w:right="-338"/>
        <w:rPr>
          <w:rFonts w:ascii="Arial" w:hAnsi="Arial" w:cs="Arial"/>
          <w:b/>
          <w:color w:val="auto"/>
          <w:sz w:val="20"/>
          <w:szCs w:val="20"/>
          <w:lang w:val="sk-SK"/>
        </w:rPr>
      </w:pPr>
      <w:r w:rsidRPr="003A5CCE">
        <w:rPr>
          <w:rFonts w:ascii="Arial" w:hAnsi="Arial" w:cs="Arial"/>
          <w:b/>
          <w:color w:val="auto"/>
          <w:sz w:val="20"/>
          <w:szCs w:val="20"/>
          <w:lang w:val="sk-SK"/>
        </w:rPr>
        <w:t>II.PRINCÍP: SPRAVODLIVÉ ZAOBCHÁDZANIE S AKIONÁRMI</w:t>
      </w:r>
    </w:p>
    <w:p w:rsidR="005B54A0" w:rsidRPr="00774798" w:rsidRDefault="005B54A0" w:rsidP="005B54A0">
      <w:pPr>
        <w:pStyle w:val="Default"/>
        <w:spacing w:line="231" w:lineRule="atLeast"/>
        <w:ind w:right="-338"/>
        <w:rPr>
          <w:rFonts w:ascii="Arial" w:hAnsi="Arial" w:cs="Arial"/>
          <w:color w:val="auto"/>
          <w:sz w:val="13"/>
          <w:szCs w:val="13"/>
          <w:lang w:val="sk-SK"/>
        </w:rPr>
      </w:pPr>
      <w:r w:rsidRPr="003A5CCE">
        <w:rPr>
          <w:rFonts w:ascii="Arial" w:hAnsi="Arial" w:cs="Arial"/>
          <w:b/>
          <w:color w:val="auto"/>
          <w:sz w:val="20"/>
          <w:szCs w:val="20"/>
          <w:lang w:val="sk-SK"/>
        </w:rPr>
        <w:t xml:space="preserve">Rámec správy a riadenia by mal zabezpečiť spravodlivé zaobchádzanie so všetkými akcionármi, vrátane minoritných a zahraničných. Všetci akcionári by mali mať možnosť získať efektívne odškodnenie, v prípade, že ich práva boli porušené.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369"/>
        <w:gridCol w:w="850"/>
        <w:gridCol w:w="5528"/>
      </w:tblGrid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A. Rovnaké zaobchádzanie s akcionármi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310D06" w:rsidRDefault="005B54A0" w:rsidP="00F83AA9">
            <w:pPr>
              <w:pStyle w:val="Default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</w:t>
            </w:r>
            <w:r w:rsidRPr="00310D06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a/nesp</w:t>
            </w:r>
            <w:r w:rsidRPr="00310D06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a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spôsob splnenia (stru</w:t>
            </w:r>
            <w:r w:rsidRPr="00BA6453">
              <w:rPr>
                <w:rFonts w:ascii="Arial" w:hAnsi="Arial" w:cs="Arial"/>
                <w:i/>
                <w:iCs/>
                <w:sz w:val="20"/>
                <w:szCs w:val="20"/>
                <w:lang w:val="sk-SK"/>
              </w:rPr>
              <w:t>č</w:t>
            </w:r>
            <w:r w:rsidRPr="00BA645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ný popis)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1. rovnosť akcionárov a ich hlasovacieho práva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Nie sú emitované prioritné akcie a neexistujú žiadne hlasovacie stropy (bez ohľadu na balík akcií), jednoznačne sa uplatňuje princíp proporcionality.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2. ochrana práv minoritných akcionárov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Pri emitovaní nových cenných papierov je garantované predkupné právo (právo upísania)všetkých akcionárov a to v pomere hodnoty cenných papierov ktoré vlastnia k základnému imaniu spoločnosti. Uplatňuje sa právo rozhodovať o určitých otázkach kvalifikovanou väčšinou. V rámci právneho poriadku sa musí rešpektovať povinná ponuka aj súdna ochrana minoritných akcionárov.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3. hlasovanie správcov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Nemáme žiadne informácie o existencii správcov akcionárskych práv, doteraz sa v praxi táto forma nevyskytla, uplatňuje sa len inštitút zastúpenia na základe plnej moci.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lastRenderedPageBreak/>
              <w:t xml:space="preserve">4. odstránenie prekážok cezhraničného hlasovania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Komunikácia so zahraničným akcionárom nie je negatívne ovplyvnená vzdialenosťou, jazykom ani inými prekážkami znevýhodňujúcimi akcionárov.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5. procesné postupy valných zhromaždení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Neexistujú žiadne umelé či procesné prekážky brániace uplatňovať akcionárom ich základné práva.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B. Zákaz zneužívania dôverných informácií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Zamestnanci nemajú možnosť zneužívať dôverné informácie o obchodovaní s cennými papiermi, nie je potrebné deklarovať takýto zákaz.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C. </w:t>
            </w:r>
            <w:r w:rsidRPr="00134B9A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Transparentnos</w:t>
            </w:r>
            <w:r w:rsidRPr="00134B9A">
              <w:rPr>
                <w:rFonts w:ascii="Arial" w:hAnsi="Arial" w:cs="Arial"/>
                <w:b/>
                <w:sz w:val="20"/>
                <w:szCs w:val="20"/>
                <w:lang w:val="sk-SK"/>
              </w:rPr>
              <w:t>ť</w:t>
            </w:r>
            <w:r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</w:t>
            </w:r>
            <w:r w:rsidRPr="00134B9A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pri 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konflikte záujmov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Členovia orgánov nie sú v konflikte záujmov a nebol nikdy preukázaný žiaden priamy ani nepriamy záujem či pochybnosť v prospech tretích osôb na transakciách spoločnosti</w:t>
            </w:r>
          </w:p>
        </w:tc>
      </w:tr>
    </w:tbl>
    <w:p w:rsidR="005B54A0" w:rsidRPr="00774798" w:rsidRDefault="005B54A0" w:rsidP="005B54A0">
      <w:pPr>
        <w:pStyle w:val="Default"/>
        <w:rPr>
          <w:rFonts w:ascii="Arial" w:hAnsi="Arial" w:cs="Arial"/>
          <w:color w:val="auto"/>
          <w:lang w:val="sk-SK"/>
        </w:rPr>
      </w:pPr>
    </w:p>
    <w:p w:rsidR="005B54A0" w:rsidRPr="00A27789" w:rsidRDefault="005B54A0" w:rsidP="005B54A0">
      <w:pPr>
        <w:jc w:val="both"/>
        <w:rPr>
          <w:rFonts w:cs="Arial"/>
          <w:b/>
        </w:rPr>
      </w:pPr>
      <w:r w:rsidRPr="00A27789">
        <w:rPr>
          <w:rFonts w:cs="Arial"/>
          <w:b/>
        </w:rPr>
        <w:t>III.PRINCÍP: ÚLOHA ZÁUJMOVÝCH SKUPÍN V SPRÁVE A RIADENÍ SPOLOČNOSTÍ</w:t>
      </w:r>
    </w:p>
    <w:p w:rsidR="005B54A0" w:rsidRPr="00A27789" w:rsidRDefault="005B54A0" w:rsidP="005B54A0">
      <w:pPr>
        <w:jc w:val="both"/>
        <w:rPr>
          <w:rFonts w:cs="Arial"/>
          <w:b/>
        </w:rPr>
      </w:pPr>
      <w:r w:rsidRPr="00A27789">
        <w:rPr>
          <w:rFonts w:cs="Arial"/>
          <w:b/>
        </w:rPr>
        <w:t>Rámec správy a riadenia spoločnosti by mal uznávať práva záujmových skupín, stanovené zákonom, alebo prostredníctvom zmlúv a podporovať aktívnu spoluprácu medzi spoločnosťou a záujmovými skupinami pri vytváraní duševných a materiálnych hodnôt, pracovných miest a udržateľnosti finančne zdravých spoločností.</w:t>
      </w:r>
    </w:p>
    <w:p w:rsidR="005B54A0" w:rsidRPr="003A5CCE" w:rsidRDefault="005B54A0" w:rsidP="005B54A0">
      <w:pPr>
        <w:pStyle w:val="Default"/>
        <w:spacing w:after="260"/>
        <w:rPr>
          <w:rFonts w:ascii="Arial" w:hAnsi="Arial" w:cs="Arial"/>
          <w:color w:val="auto"/>
          <w:sz w:val="20"/>
          <w:szCs w:val="20"/>
          <w:lang w:val="sk-SK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369"/>
        <w:gridCol w:w="850"/>
        <w:gridCol w:w="5528"/>
      </w:tblGrid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3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310D06" w:rsidRDefault="005B54A0" w:rsidP="00F83AA9">
            <w:pPr>
              <w:pStyle w:val="Default"/>
              <w:ind w:right="-42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</w:t>
            </w:r>
            <w:r w:rsidRPr="00310D06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a/nesp</w:t>
            </w:r>
            <w:r w:rsidRPr="00310D06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a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spôsob splnenia (stru</w:t>
            </w:r>
            <w:r w:rsidRPr="00BA6453">
              <w:rPr>
                <w:rFonts w:ascii="Arial" w:hAnsi="Arial" w:cs="Arial"/>
                <w:i/>
                <w:iCs/>
                <w:sz w:val="20"/>
                <w:szCs w:val="20"/>
                <w:lang w:val="sk-SK"/>
              </w:rPr>
              <w:t>č</w:t>
            </w:r>
            <w:r w:rsidRPr="00BA645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ný popis)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A. Rešpektovanie práv záujmových skupín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V praxi sa uplatňuje na lokálnom princípe osobitná politika spoločnosti k obyvateľom mesta ( bezplatné vecné bremená vo verejnom záujme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, zvýhodnené vstupné na kúpalisku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).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V rámci obchodnej politiky máme vytvorený program pre seniorské skupiny, podporujeme šport, občianske združenia, zdravotne postihnutých. Sme členmi Oblastnej organizácie cestovného ruchu, prostredníctvom ktorej nepriamo presadzujeme politiku záujmových skupín (podpora ku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ltúrn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ych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a športov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ých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podujat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í).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B. Možnosti efektívnej ochrany práv záujmových skupín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Práva záujmových skupín sú zmluvne garantované – viď Zmluva o zriadení vecného bremena na stavbu športového areálu. Nadácia uzatvára Zmluvy o darovaní.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C. </w:t>
            </w:r>
            <w:r w:rsidRPr="00134B9A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Ú</w:t>
            </w:r>
            <w:r w:rsidRPr="00134B9A">
              <w:rPr>
                <w:rFonts w:ascii="Arial" w:hAnsi="Arial" w:cs="Arial"/>
                <w:b/>
                <w:sz w:val="20"/>
                <w:szCs w:val="20"/>
                <w:lang w:val="sk-SK"/>
              </w:rPr>
              <w:t>č</w:t>
            </w:r>
            <w:r w:rsidRPr="00134B9A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as</w:t>
            </w:r>
            <w:r w:rsidRPr="00134B9A">
              <w:rPr>
                <w:rFonts w:ascii="Arial" w:hAnsi="Arial" w:cs="Arial"/>
                <w:b/>
                <w:sz w:val="20"/>
                <w:szCs w:val="20"/>
                <w:lang w:val="sk-SK"/>
              </w:rPr>
              <w:t>ť</w:t>
            </w:r>
            <w:r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</w:t>
            </w:r>
            <w:r w:rsidRPr="00134B9A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zamestnancov v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 orgánoch spolo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nosti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Zamestnanci sú zastúpení v dozornej rade, ich práva sa presadzujú prostredníctvom kolektívneho vyjednávania, komunikácia prebieha na úrovni rôznych porád, neformálnych stretnutí, motivačných systémov a podobne . Jedným z významných nástrojov je aj politika tvorby a rozdeľovania Sociálneho fondu.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D. Právo na prístup k informáciám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Presadzuje sa priama komunikácia a je zabezpečená všeobecná dostupnosť dokumentov v rámci ISR.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E. Kontrolné mechanizmy záujmových skupín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Sťažnosti zamestnancov sa môžu podávať aj anonymnou formou- osobitná schránka. Je vytvorený elektronický adresár na podnety , návrhy, pripomienky a sťažnosti zamestnancov.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Nevidíme možnosť uplatnenia iných kontrolných mechanizmov.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F. Ochrana verite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ľ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ov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ind w:right="-42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Práva veriteľov sú plne rešpektované a povinnosti spoločnosti voči veriteľom sú riadne a včas plnené, nevykazujeme žiadne nesplnené záväzky po lehotách.</w:t>
            </w:r>
          </w:p>
        </w:tc>
      </w:tr>
    </w:tbl>
    <w:p w:rsidR="005B54A0" w:rsidRPr="00774798" w:rsidRDefault="005B54A0" w:rsidP="005B54A0">
      <w:pPr>
        <w:pStyle w:val="Default"/>
        <w:rPr>
          <w:rFonts w:ascii="Arial" w:hAnsi="Arial" w:cs="Arial"/>
          <w:color w:val="auto"/>
          <w:lang w:val="sk-SK"/>
        </w:rPr>
      </w:pPr>
    </w:p>
    <w:p w:rsidR="005B54A0" w:rsidRPr="00A27789" w:rsidRDefault="005B54A0" w:rsidP="005B54A0">
      <w:pPr>
        <w:jc w:val="both"/>
        <w:rPr>
          <w:rFonts w:cs="Arial"/>
          <w:b/>
        </w:rPr>
      </w:pPr>
      <w:r w:rsidRPr="00A27789">
        <w:rPr>
          <w:rFonts w:cs="Arial"/>
          <w:b/>
        </w:rPr>
        <w:t>IV. PRINCÍP: ZVEREJŇOVANIE INFORMÁCIÍ A TRANSPARENTNOSŤ</w:t>
      </w:r>
    </w:p>
    <w:p w:rsidR="005B54A0" w:rsidRPr="00A27789" w:rsidRDefault="005B54A0" w:rsidP="005B54A0">
      <w:pPr>
        <w:jc w:val="both"/>
        <w:rPr>
          <w:rFonts w:cs="Arial"/>
          <w:b/>
        </w:rPr>
      </w:pPr>
      <w:r w:rsidRPr="00A27789">
        <w:rPr>
          <w:rFonts w:cs="Arial"/>
          <w:b/>
        </w:rPr>
        <w:lastRenderedPageBreak/>
        <w:t>Rámec správy a riadenia spoločnosti by mal zabezpečiť, aby sa zverejňovali včasné a presné informácie vo všetkých podstatných záležitostiach, týkajúcich sa spoločnosti, vrátane finančnej situácie, výkonnosti, vlastníctva a správy spoločnosti</w:t>
      </w:r>
    </w:p>
    <w:p w:rsidR="005B54A0" w:rsidRPr="00A27789" w:rsidRDefault="005B54A0" w:rsidP="005B54A0">
      <w:pPr>
        <w:pStyle w:val="Default"/>
        <w:spacing w:after="260"/>
        <w:rPr>
          <w:rFonts w:ascii="Arial" w:hAnsi="Arial" w:cs="Arial"/>
          <w:color w:val="auto"/>
          <w:sz w:val="20"/>
          <w:szCs w:val="20"/>
          <w:lang w:val="sk-SK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369"/>
        <w:gridCol w:w="850"/>
        <w:gridCol w:w="5528"/>
      </w:tblGrid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872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A. Minimálne požiadavky na zverej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ň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ovanie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310D06" w:rsidRDefault="005B54A0" w:rsidP="00F83AA9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</w:t>
            </w:r>
            <w:r w:rsidRPr="00310D06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a/nesp</w:t>
            </w:r>
            <w:r w:rsidRPr="00310D06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a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spôsob splnenia (stru</w:t>
            </w:r>
            <w:r w:rsidRPr="00BA6453">
              <w:rPr>
                <w:rFonts w:ascii="Arial" w:hAnsi="Arial" w:cs="Arial"/>
                <w:i/>
                <w:iCs/>
                <w:sz w:val="20"/>
                <w:szCs w:val="20"/>
                <w:lang w:val="sk-SK"/>
              </w:rPr>
              <w:t>č</w:t>
            </w:r>
            <w:r w:rsidRPr="00BA645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ný popis) 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1. finančné a prevádzkové výsledky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Je vykonávaný pravidelný účtovný audit, predstavenstvo zverejňuje hodnoverný obraz o riadení a stave (finančnej situácie) spoločnosti. Všetky transakcie sú v súlade s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 slovenskými účtovnými predpismi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2. predmet podnikania (činnosti) a širšie ciele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Prevádzkovanie prírodných liečebných kúpeľov. Širšie ciele a politiky spoločnosti sú definované v integrovanom systéme riadenia.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3. štruktúra základného imania a kvalifikovaná účasť v spoločnosti podľa osobitného predpisu </w:t>
            </w:r>
            <w:r w:rsidRPr="009F5DB9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Akcionári sú informovaní o vlastníckej štruktúre vždy k rozhodujúcemu dňu pre konanie valného zhromaždenia, pretože akcie sú emitované na doručiteľa.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4. stratégia odmeňovania, opis jej štruktúry a vysvetlenie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 odmenách členov orgánov rozhoduje výhradne valné zhromaždenie. Pri odmeňovaní predstavenstva sa zohľadňuje v príslušnom účtovnom období výkonnosť spoločnosti, zisk, valné zhromaždenie rozhoduje o odmenách menovite každému členovi predstavenstva.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Zamestnanci sú odmeňovaní v zmysle vnútorného predpisu – Odmeňovací poriadok a v súlade s platnými právnymi predpismi.</w:t>
            </w:r>
          </w:p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127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5. informácie o členoch orgánov spoločnosti, pravidlá upravujúce ich výber, vymenovanie a odvolanie a informácie o ich nezávislosti </w:t>
            </w:r>
            <w:r w:rsidRPr="009F5DB9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Základné údaje o členoch orgánov sú k dispozícii na personálnom oddelení spoločnosti  a ich nezávislosť sa skúma najmä pri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voľbe a 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menovaní do funkcií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v zmysle stanov spoločnosti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6. transakcie so spriaznenými stranami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Všetky transakcie sú vykázané v ročnej účtovnej závierke , v podnikateľskom pláne, v registratúrnej dokumentácii, ktorá je všeobecne prístupná zamestnancom a členom orgánov. Všetky obchodné činnosti aj finančné transakcie sú v súlade s platnými právnymi predpismi. 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78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7. predvídateľné rizikové faktory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  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Všetky rizikové faktory sú zdokumentované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a 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obsiahnuté vo výkazoch a správach určených pre potenciálnych investorov 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8. záležitosti týkajúce sa zamestnancov a iných záujmových skupín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Dokumentácia je všeobecne prístupná vrátane sociálnych programov, vzdelávania a personálnej politiky.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Ochrana informácií a osobných údajov je v súlade s bezpečnostným projektom spoločnosti. 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12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9. stratégia v oblasti </w:t>
            </w:r>
            <w:proofErr w:type="spellStart"/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corporate</w:t>
            </w:r>
            <w:proofErr w:type="spellEnd"/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governance</w:t>
            </w:r>
            <w:proofErr w:type="spellEnd"/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 a zloženie a činnosť orgánov spoločnosti a údaj o tom, kde sú tieto informácie zverejnené</w:t>
            </w:r>
            <w:r w:rsidRPr="009F5DB9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Stanovisko Výboru pre audit k nezávislosti auditu je v kompetencii valného zhromaždenia, ďalším zdrojom je vyhlásenie štatutárneho orgánu uvedené vo Výročnej správe a Správe o podnikateľskej činnosti za predchádzajúce obdobie.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Princípy riadenia sú zdokumentované v rámci ISR.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10. opis systémov vnútornej kontroly a riadenia  rizík</w:t>
            </w:r>
            <w:r w:rsidRPr="009F5DB9"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Vnútorná kontrola je zabezpečená internými auditmi vykonávanými v zmysle procesov riadenia kvality, je meraná výkonnosť procesov, v elektronickej forme je vedená evidencia sťažností a spokojnosti klientov, ktorá sa pravidelne vyhodnocuje a spôsob vybavovania sťažností. Uplatňujú sa aj špeciálne kontroly ad hoc (vrátane 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lastRenderedPageBreak/>
              <w:t>pravidelných aj mimoriadnych inventarizácií).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lastRenderedPageBreak/>
              <w:t>B</w:t>
            </w:r>
            <w:r w:rsidRPr="009F5DB9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. Úrove</w:t>
            </w:r>
            <w:r w:rsidRPr="009F5DB9">
              <w:rPr>
                <w:rFonts w:ascii="Arial" w:hAnsi="Arial" w:cs="Arial"/>
                <w:b/>
                <w:sz w:val="20"/>
                <w:szCs w:val="20"/>
                <w:lang w:val="sk-SK"/>
              </w:rPr>
              <w:t>ň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kvality informácií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Základné informácie sú komplexne a prehľadne vedené elekt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r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onickou formou, niektoré štatistické údaje sú medziročne (mesačne…) porovnávané v rámci systému ISR.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C. Nezávislý audit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Účtovný audit je vykonávaný dôsledne a vyjadruje aj názor na spôsob vypracovania ročnej účtovnej závierky. Audítor je menovaný valným zhromaždením na základe návrhu Výboru pre audit, čím je zabezpečená nezávislosť audítorov.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D. Zodpovednos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 xml:space="preserve">ť 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audítora akcionárom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Zodpovedá priamo valné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mu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zhromaždeniu aj spoločnosti zastúpenej štatutárnym  orgánom v zmysle uzavretej zmluvy. Doteraz neboli v práci audítora zistené žiadne nedostatky.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E. Prístup akcionárov a záujmových skupín k informáciám v rovnakom </w:t>
            </w:r>
            <w:r w:rsidRPr="00BA6453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ase a rozsahu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Prístup k informáciám je komfortný – takmer neobmedzený najmä prostredníctvom elektronickej evidencie a webu.</w:t>
            </w:r>
          </w:p>
        </w:tc>
      </w:tr>
      <w:tr w:rsidR="005B54A0" w:rsidRPr="00BA6453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F. Nezávislé analýzy a poradenstvo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BA6453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Nezávislý audit, </w:t>
            </w:r>
            <w:proofErr w:type="spellStart"/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Myster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y</w:t>
            </w:r>
            <w:proofErr w:type="spellEnd"/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shoping</w:t>
            </w:r>
            <w:proofErr w:type="spellEnd"/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, Finančné an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alý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zy, Analýzy bánk, zmluvné poradenstvo v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 gastronomických, marketingových činnostiach a v </w:t>
            </w:r>
            <w:r w:rsidRPr="00BA645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 právnych veciach</w:t>
            </w:r>
          </w:p>
        </w:tc>
      </w:tr>
    </w:tbl>
    <w:p w:rsidR="005B54A0" w:rsidRPr="00774798" w:rsidRDefault="005B54A0" w:rsidP="005B54A0">
      <w:pPr>
        <w:pStyle w:val="Default"/>
        <w:rPr>
          <w:rFonts w:ascii="Arial" w:hAnsi="Arial" w:cs="Arial"/>
          <w:color w:val="auto"/>
          <w:lang w:val="sk-SK"/>
        </w:rPr>
      </w:pPr>
    </w:p>
    <w:p w:rsidR="005B54A0" w:rsidRPr="00134B9A" w:rsidRDefault="005B54A0" w:rsidP="005B54A0">
      <w:pPr>
        <w:pStyle w:val="Default"/>
        <w:spacing w:line="231" w:lineRule="atLeast"/>
        <w:ind w:right="-158"/>
        <w:jc w:val="both"/>
        <w:rPr>
          <w:rFonts w:ascii="Arial" w:hAnsi="Arial" w:cs="Arial"/>
          <w:color w:val="auto"/>
          <w:sz w:val="13"/>
          <w:szCs w:val="13"/>
          <w:lang w:val="sk-SK"/>
        </w:rPr>
      </w:pPr>
      <w:r w:rsidRPr="00134B9A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10 </w:t>
      </w:r>
      <w:r w:rsidRPr="00134B9A">
        <w:rPr>
          <w:rFonts w:ascii="Arial" w:hAnsi="Arial" w:cs="Arial"/>
          <w:color w:val="auto"/>
          <w:sz w:val="13"/>
          <w:szCs w:val="13"/>
          <w:lang w:val="sk-SK"/>
        </w:rPr>
        <w:t xml:space="preserve">§ 20 ods. 6 písm. f) a b) Zákona </w:t>
      </w:r>
      <w:r w:rsidRPr="00134B9A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11 </w:t>
      </w:r>
      <w:r w:rsidRPr="00134B9A">
        <w:rPr>
          <w:rFonts w:ascii="Arial" w:hAnsi="Arial" w:cs="Arial"/>
          <w:color w:val="auto"/>
          <w:sz w:val="13"/>
          <w:szCs w:val="13"/>
          <w:lang w:val="sk-SK"/>
        </w:rPr>
        <w:t xml:space="preserve">§ 20 ods. 6 písm. d) Zákona </w:t>
      </w:r>
    </w:p>
    <w:p w:rsidR="005B54A0" w:rsidRPr="00774798" w:rsidRDefault="005B54A0" w:rsidP="005B54A0">
      <w:pPr>
        <w:pStyle w:val="Default"/>
        <w:spacing w:line="231" w:lineRule="atLeast"/>
        <w:ind w:right="-158"/>
        <w:jc w:val="both"/>
        <w:rPr>
          <w:rFonts w:ascii="Arial" w:hAnsi="Arial" w:cs="Arial"/>
          <w:color w:val="auto"/>
          <w:sz w:val="20"/>
          <w:szCs w:val="20"/>
          <w:lang w:val="sk-SK"/>
        </w:rPr>
      </w:pPr>
    </w:p>
    <w:p w:rsidR="005B54A0" w:rsidRPr="00A27789" w:rsidRDefault="005B54A0" w:rsidP="005B54A0">
      <w:pPr>
        <w:jc w:val="both"/>
        <w:rPr>
          <w:rFonts w:cs="Arial"/>
          <w:b/>
        </w:rPr>
      </w:pPr>
      <w:r w:rsidRPr="00A27789">
        <w:rPr>
          <w:rFonts w:cs="Arial"/>
          <w:b/>
        </w:rPr>
        <w:t>V. PRINCÍP: ZODPOVEDNOSŤ ORGÁNOV SPOLOČNOSTI</w:t>
      </w:r>
    </w:p>
    <w:p w:rsidR="005B54A0" w:rsidRPr="00A27789" w:rsidRDefault="005B54A0" w:rsidP="005B54A0">
      <w:pPr>
        <w:jc w:val="both"/>
        <w:rPr>
          <w:b/>
        </w:rPr>
      </w:pPr>
      <w:r w:rsidRPr="00A27789">
        <w:rPr>
          <w:b/>
        </w:rPr>
        <w:t>Rámec správy a riadenia spoločnosti by mal zabezpečiť strategické vedenie spoločnosti, efektívne monitorovanie manažmentu zo strany orgánov spoločnosti a zodpovednosť orgánov spoločnosti voči spoločnosti a akcionárom.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369"/>
        <w:gridCol w:w="850"/>
        <w:gridCol w:w="5528"/>
      </w:tblGrid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3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310D06" w:rsidRDefault="005B54A0" w:rsidP="00F83AA9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</w:t>
            </w:r>
            <w:r w:rsidRPr="00310D06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a/nesp</w:t>
            </w:r>
            <w:r w:rsidRPr="00310D06">
              <w:rPr>
                <w:rFonts w:ascii="Arial" w:hAnsi="Arial" w:cs="Arial"/>
                <w:b/>
                <w:i/>
                <w:iCs/>
                <w:sz w:val="20"/>
                <w:szCs w:val="20"/>
                <w:lang w:val="sk-SK"/>
              </w:rPr>
              <w:t>ĺň</w:t>
            </w:r>
            <w:r w:rsidRPr="00310D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a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spôsob splnenia (stru</w:t>
            </w:r>
            <w:r w:rsidRPr="0015173D">
              <w:rPr>
                <w:rFonts w:ascii="Arial" w:hAnsi="Arial" w:cs="Arial"/>
                <w:i/>
                <w:iCs/>
                <w:sz w:val="20"/>
                <w:szCs w:val="20"/>
                <w:lang w:val="sk-SK"/>
              </w:rPr>
              <w:t>č</w:t>
            </w:r>
            <w:r w:rsidRPr="001517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ný popis)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A. Konanie 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lenov orgánov na základe úplných informácií v záujme spolo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nosti a akcionárov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Povinnosť členov orgánov ich starostlivosť aj lojalita je upravená v zákonoch aj vnútorných normách. Kľúčové informácie sú dôveryhodné a zabezpečené Bezpečnostným projektom. Orgány spoločnosti konajú preukázateľne v záujme spoločnosti a akcionárov (zápisnice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z porád vedenia </w:t>
            </w: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a podobne).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B. Poctivé zaobchádzanie 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lenov orgánov s akcionármi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Uplatňuje sa princíp rovnakého zaobchádzania s akcionármi a to nestranne a nezávisle bez ohľadu, ktorý člen orgánu je nominantom toho ktorého akcionára.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C. Uplat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>ň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ovanie etických štandardov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Máme schválený vlastný etický kódex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D. Zabezpe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enie k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>ľ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ú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ových funkcií: 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1. majetková a ekonomická stratégia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Kľúčové funkcie sú  vyjadrené v mape procesov a vykonáva sa ich neustále monitorovanie. Stratégia je schválená v Podnikateľskom pláne vo výko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</w:t>
            </w: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nostných cieľoch, v operatívnom riadení nákladov a v reálnej starostlivosti o majetok (evidencia, údržba, zhodnocovanie, kontrola) . Vykonávaná je  preukázateľne evidencia </w:t>
            </w:r>
            <w:proofErr w:type="spellStart"/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závad</w:t>
            </w:r>
            <w:proofErr w:type="spellEnd"/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a porúch a </w:t>
            </w: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lastRenderedPageBreak/>
              <w:t>servisných výkonov (elektronicky).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lastRenderedPageBreak/>
              <w:t xml:space="preserve">2. monitorovanie efektívnosti správy a riadenia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Zlepšovanie procesov – kontrola a meranie – opatrenia a zmeny v </w:t>
            </w:r>
            <w:proofErr w:type="spellStart"/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organizačno</w:t>
            </w:r>
            <w:proofErr w:type="spellEnd"/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- </w:t>
            </w:r>
            <w:smartTag w:uri="urn:schemas-microsoft-com:office:smarttags" w:element="PersonName">
              <w:r w:rsidRPr="0015173D">
                <w:rPr>
                  <w:rFonts w:ascii="Arial" w:hAnsi="Arial" w:cs="Arial"/>
                  <w:color w:val="auto"/>
                  <w:sz w:val="20"/>
                  <w:szCs w:val="20"/>
                  <w:lang w:val="sk-SK"/>
                </w:rPr>
                <w:t>admin</w:t>
              </w:r>
            </w:smartTag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istratívnych aktoch – sledovanie účinnosti.</w:t>
            </w:r>
          </w:p>
        </w:tc>
      </w:tr>
    </w:tbl>
    <w:p w:rsidR="005B54A0" w:rsidRPr="00774798" w:rsidRDefault="005B54A0" w:rsidP="005B54A0">
      <w:pPr>
        <w:pStyle w:val="Default"/>
        <w:rPr>
          <w:rFonts w:ascii="Arial" w:hAnsi="Arial" w:cs="Arial"/>
          <w:color w:val="auto"/>
          <w:lang w:val="sk-SK"/>
        </w:rPr>
      </w:pPr>
    </w:p>
    <w:p w:rsidR="005B54A0" w:rsidRPr="00774798" w:rsidRDefault="005B54A0" w:rsidP="005B54A0">
      <w:pPr>
        <w:pStyle w:val="Default"/>
        <w:tabs>
          <w:tab w:val="left" w:pos="6120"/>
        </w:tabs>
        <w:ind w:right="382"/>
        <w:rPr>
          <w:rFonts w:ascii="Arial" w:hAnsi="Arial" w:cs="Arial"/>
          <w:color w:val="auto"/>
          <w:sz w:val="20"/>
          <w:szCs w:val="20"/>
          <w:lang w:val="sk-SK"/>
        </w:rPr>
      </w:pPr>
      <w:r w:rsidRPr="00774798">
        <w:rPr>
          <w:rFonts w:ascii="Arial" w:hAnsi="Arial" w:cs="Arial"/>
          <w:color w:val="auto"/>
          <w:position w:val="9"/>
          <w:sz w:val="13"/>
          <w:szCs w:val="13"/>
          <w:vertAlign w:val="superscript"/>
          <w:lang w:val="sk-SK"/>
        </w:rPr>
        <w:t xml:space="preserve">12 </w:t>
      </w:r>
      <w:r w:rsidRPr="00774798">
        <w:rPr>
          <w:rFonts w:ascii="Arial" w:hAnsi="Arial" w:cs="Arial"/>
          <w:color w:val="auto"/>
          <w:sz w:val="20"/>
          <w:szCs w:val="20"/>
          <w:lang w:val="sk-SK"/>
        </w:rPr>
        <w:t xml:space="preserve">§ 20 ods. 6 písm. b) a f) a § 20 ods. 7 písm. i) Zákona 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3369"/>
        <w:gridCol w:w="850"/>
        <w:gridCol w:w="5528"/>
      </w:tblGrid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3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3. personálna politika týkajúca sa vyššieho manažmentu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 členoch predstavenstva a dozornej rade rozhoduje výlučne valné zhromaždenie, kontroluje dozorná rada. Predstavenstvo ďalej rozhoduje o uzatváraní zmlúv s ostatnými manažérmi v rámci platnej organizačnej štruktúry so štandardnými pracovnoprávnymi podmienkami v zmysle zákonníka práce.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4. odmeňovanie v súlade s dlhodobými záujmami spoločnosti a akcionárov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Na základe plnenia podnikateľského plánu rozhoduje valné zhromaždenie o konkrétnych odmenách  (pohyblivej zložke)jednotlivým členom predstavenstva. Odmeňovací poriadok je determinovaný  objemom  skutočných tržieb k stanovenému koeficientu osobných nákladov (princíp spravodlivého vzťahu medzi  tvorbou zdrojov a  nákladmi na prácu – zásluhovosť)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5. transparentnosť procesu menovania a voľby členov orgánov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Návrhy na zmeny môžu uplatniť všetci akcionári a sú včas k dispozícii pre všetkých akcionárov.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6. monitorovanie a riadenie potenciálnych konfliktov záujmov členov orgánov a manažmentu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Možnosť anonymného nahlasovania neetického správania, prijatý etický kódex. Predstavenstvo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a dozorná rada </w:t>
            </w: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monitoruje túto oblasť.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7. zabezpečenie integrity systému účtovníctva, vrátane nezávislého auditu a systému riadenia rizika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Rozdelenie kompetencií a právomocí + zodpovednosť je upravená vo všetkých procesoch, v popisoch pracovných činností a v ďalších dokumentoch. Systém účtovníctva je porovnávaný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s</w:t>
            </w: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inými štatistickými informáciami, pričom je neustále overovaná hodnovernosť údajov.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8. dohľad nad zverejňovaním informácií a komunikáciou s okolím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Úplný dohľad je zabezpečený  najmä formou centrálnej elektronickej evidencie internej a externej komunikácie a sy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</w:t>
            </w: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témom sledovania lehôt na vybavenie.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9. právomoc rozhodnúť o vydaní akcií alebo spätnom odkúpení akcií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Túto právomoc má výhradne valné zhromaždenie.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10. iné právomoci štatutárneho orgánu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Všetky právomoci vychádzajú z taxatívnej právnej úpravy - dodržanie ustanovení obchodného zákonníka a platných stanov.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E. Objektívnos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ť 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a nezávislos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ť 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orgánov spolo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nosti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</w:tbl>
    <w:p w:rsidR="005B54A0" w:rsidRPr="00774798" w:rsidRDefault="005B54A0" w:rsidP="005B54A0">
      <w:pPr>
        <w:pStyle w:val="Default"/>
        <w:rPr>
          <w:rFonts w:ascii="Arial" w:hAnsi="Arial" w:cs="Arial"/>
          <w:color w:val="auto"/>
          <w:lang w:val="sk-SK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369"/>
        <w:gridCol w:w="850"/>
        <w:gridCol w:w="5528"/>
      </w:tblGrid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8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1. nezávislosť členov dozornej rady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Dozorná rada má 5 členov, z toho 2 členovia zastupujú minoritných akcionárov (z verejného sektora)a 2 členovia sú volení zamestnancami.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lastRenderedPageBreak/>
              <w:t xml:space="preserve">2. ponímanie nezávislosti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V spoločnosti neexistuje žiadna vnútorná interpretácia tohto pojmu a dozorná rada sa týmto doteraz nezaoberala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3. informovanie o nezávislosti členov orgánov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Táto informácia sa oznamuje najmä pri návrhoch na zmeny v orgánoch spoločnosti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4. existencia, zloženie a činnosť výborov 13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a) Výbor pre menovanie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nespĺňa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 hľadiska typu spoločnosti a požiadaviek akcionárov nie je takýto Výbor potrebný. Nebola doteraz požiadavka zo strany žiadneho akcionára.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>b) Výbor pre odme</w:t>
            </w:r>
            <w:r w:rsidRPr="0015173D">
              <w:rPr>
                <w:rFonts w:ascii="Arial" w:hAnsi="Arial" w:cs="Arial"/>
                <w:i/>
                <w:iCs/>
                <w:sz w:val="20"/>
                <w:szCs w:val="20"/>
                <w:lang w:val="sk-SK"/>
              </w:rPr>
              <w:t>ň</w:t>
            </w:r>
            <w:r w:rsidRPr="001517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ovanie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nespĺňa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 hľadiska typu spoločnosti a požiadaviek akcionárov nie je takýto Výbor potrebný. Nebola doteraz požiadavka zo strany žiadneho akcionára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k-SK"/>
              </w:rPr>
              <w:t xml:space="preserve">c) Výbor pre audit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Spoločnosť má zriadený výbor pre audit. 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 xml:space="preserve">5. kvalifikácia a skúsenosti členov orgánov spoločnosti a funkcie v iných spoločnostiach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Kvalifikácia členov orgánov zodpovedá požiadavkám interných predpisov spoločnosti. Členovia majú dlhodobé skúsenosti v oblasti riadenia a špeciálne kúpeľníctva. Nie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ktorí členovia sú členmi orgánov partnerských a prepojených podnikov.</w:t>
            </w:r>
          </w:p>
        </w:tc>
      </w:tr>
      <w:tr w:rsidR="005B54A0" w:rsidRPr="00774798" w:rsidTr="00F83AA9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F. Právo </w:t>
            </w:r>
            <w:r w:rsidRPr="00134B9A">
              <w:rPr>
                <w:rFonts w:ascii="Arial" w:hAnsi="Arial" w:cs="Arial"/>
                <w:b/>
                <w:sz w:val="20"/>
                <w:szCs w:val="20"/>
                <w:lang w:val="sk-SK"/>
              </w:rPr>
              <w:t>č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lenov orgánov na prístup k presným, relevantným a v</w:t>
            </w:r>
            <w:r w:rsidRPr="0015173D"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15173D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asným informáciám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spĺňa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4A0" w:rsidRPr="0015173D" w:rsidRDefault="005B54A0" w:rsidP="00F83AA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15173D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Všetkým členom orgánov sú pri sprístupnení informácií vytvorené rovnaké podmienky.</w:t>
            </w:r>
          </w:p>
        </w:tc>
      </w:tr>
    </w:tbl>
    <w:p w:rsidR="005B54A0" w:rsidRPr="00134B9A" w:rsidRDefault="005B54A0" w:rsidP="005B54A0">
      <w:pPr>
        <w:pStyle w:val="CM1"/>
        <w:ind w:right="4342"/>
        <w:rPr>
          <w:rFonts w:ascii="Arial" w:hAnsi="Arial" w:cs="Arial"/>
          <w:sz w:val="13"/>
          <w:szCs w:val="13"/>
          <w:lang w:val="sk-SK"/>
        </w:rPr>
      </w:pPr>
      <w:r w:rsidRPr="00134B9A">
        <w:rPr>
          <w:rFonts w:ascii="Arial" w:hAnsi="Arial" w:cs="Arial"/>
          <w:position w:val="9"/>
          <w:sz w:val="13"/>
          <w:szCs w:val="13"/>
          <w:vertAlign w:val="superscript"/>
          <w:lang w:val="sk-SK"/>
        </w:rPr>
        <w:t xml:space="preserve">13 </w:t>
      </w:r>
      <w:r w:rsidRPr="00134B9A">
        <w:rPr>
          <w:rFonts w:ascii="Arial" w:hAnsi="Arial" w:cs="Arial"/>
          <w:sz w:val="13"/>
          <w:szCs w:val="13"/>
          <w:lang w:val="sk-SK"/>
        </w:rPr>
        <w:t xml:space="preserve">§ 20 ods. 6 písm. f) Zákona </w:t>
      </w:r>
    </w:p>
    <w:p w:rsidR="00AB464F" w:rsidRDefault="00AB464F">
      <w:bookmarkStart w:id="2" w:name="_GoBack"/>
      <w:bookmarkEnd w:id="2"/>
    </w:p>
    <w:sectPr w:rsidR="00AB4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A31C9E"/>
    <w:multiLevelType w:val="multilevel"/>
    <w:tmpl w:val="A83C76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65"/>
        </w:tabs>
        <w:ind w:left="76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7EDE56C2"/>
    <w:multiLevelType w:val="multilevel"/>
    <w:tmpl w:val="99BC2C92"/>
    <w:lvl w:ilvl="0">
      <w:start w:val="1"/>
      <w:numFmt w:val="decimal"/>
      <w:pStyle w:val="Nadpis1"/>
      <w:lvlText w:val="%1"/>
      <w:lvlJc w:val="left"/>
      <w:pPr>
        <w:tabs>
          <w:tab w:val="num" w:pos="705"/>
        </w:tabs>
        <w:ind w:left="705" w:hanging="705"/>
      </w:pPr>
      <w:rPr>
        <w:caps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4A0"/>
    <w:rsid w:val="005B54A0"/>
    <w:rsid w:val="00AB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8C7EB-AB17-49CA-BB8D-CD2AF70B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54A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B54A0"/>
    <w:pPr>
      <w:numPr>
        <w:numId w:val="1"/>
      </w:numPr>
      <w:spacing w:before="240" w:after="60"/>
      <w:outlineLvl w:val="0"/>
    </w:pPr>
    <w:rPr>
      <w:b/>
      <w:caps/>
      <w:kern w:val="28"/>
      <w:sz w:val="24"/>
      <w:lang w:val="cs-CZ"/>
    </w:rPr>
  </w:style>
  <w:style w:type="paragraph" w:styleId="Nadpis2">
    <w:name w:val="heading 2"/>
    <w:basedOn w:val="Normlny"/>
    <w:next w:val="Normlny"/>
    <w:link w:val="Nadpis2Char"/>
    <w:qFormat/>
    <w:rsid w:val="005B54A0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y"/>
    <w:next w:val="Normlny"/>
    <w:link w:val="Nadpis3Char"/>
    <w:qFormat/>
    <w:rsid w:val="005B54A0"/>
    <w:pPr>
      <w:keepNext/>
      <w:numPr>
        <w:ilvl w:val="2"/>
        <w:numId w:val="1"/>
      </w:numPr>
      <w:spacing w:before="120"/>
      <w:outlineLvl w:val="2"/>
    </w:pPr>
    <w:rPr>
      <w:b/>
      <w:sz w:val="22"/>
    </w:rPr>
  </w:style>
  <w:style w:type="paragraph" w:styleId="Nadpis4">
    <w:name w:val="heading 4"/>
    <w:basedOn w:val="Normlny"/>
    <w:next w:val="Normlny"/>
    <w:link w:val="Nadpis4Char"/>
    <w:qFormat/>
    <w:rsid w:val="005B54A0"/>
    <w:pPr>
      <w:keepNext/>
      <w:numPr>
        <w:ilvl w:val="3"/>
        <w:numId w:val="1"/>
      </w:numPr>
      <w:spacing w:before="120"/>
      <w:outlineLvl w:val="3"/>
    </w:pPr>
    <w:rPr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B54A0"/>
    <w:rPr>
      <w:rFonts w:ascii="Arial" w:eastAsia="Times New Roman" w:hAnsi="Arial" w:cs="Times New Roman"/>
      <w:b/>
      <w:caps/>
      <w:kern w:val="28"/>
      <w:sz w:val="24"/>
      <w:szCs w:val="20"/>
      <w:lang w:val="cs-CZ" w:eastAsia="cs-CZ"/>
    </w:rPr>
  </w:style>
  <w:style w:type="character" w:customStyle="1" w:styleId="Nadpis2Char">
    <w:name w:val="Nadpis 2 Char"/>
    <w:basedOn w:val="Predvolenpsmoodseku"/>
    <w:link w:val="Nadpis2"/>
    <w:rsid w:val="005B54A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5B54A0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5B54A0"/>
    <w:rPr>
      <w:rFonts w:ascii="Arial" w:eastAsia="Times New Roman" w:hAnsi="Arial" w:cs="Times New Roman"/>
      <w:szCs w:val="20"/>
      <w:lang w:eastAsia="cs-CZ"/>
    </w:rPr>
  </w:style>
  <w:style w:type="paragraph" w:customStyle="1" w:styleId="Normal">
    <w:name w:val="Normal"/>
    <w:basedOn w:val="Normlny"/>
    <w:link w:val="NormalChar"/>
    <w:rsid w:val="005B54A0"/>
    <w:pPr>
      <w:suppressAutoHyphens/>
      <w:spacing w:line="230" w:lineRule="auto"/>
    </w:pPr>
    <w:rPr>
      <w:rFonts w:ascii="Times New Roman" w:hAnsi="Times New Roman"/>
    </w:rPr>
  </w:style>
  <w:style w:type="paragraph" w:customStyle="1" w:styleId="Default">
    <w:name w:val="Default"/>
    <w:link w:val="DefaultChar"/>
    <w:rsid w:val="005B54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customStyle="1" w:styleId="CM1">
    <w:name w:val="CM1"/>
    <w:basedOn w:val="Default"/>
    <w:next w:val="Default"/>
    <w:rsid w:val="005B54A0"/>
    <w:rPr>
      <w:color w:val="auto"/>
    </w:rPr>
  </w:style>
  <w:style w:type="character" w:customStyle="1" w:styleId="NormalChar">
    <w:name w:val="Normal Char"/>
    <w:basedOn w:val="Predvolenpsmoodseku"/>
    <w:link w:val="Normal"/>
    <w:rsid w:val="005B54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DefaultChar">
    <w:name w:val="Default Char"/>
    <w:basedOn w:val="Predvolenpsmoodseku"/>
    <w:link w:val="Default"/>
    <w:rsid w:val="005B54A0"/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3019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uctaren1</dc:creator>
  <cp:keywords/>
  <dc:description/>
  <cp:lastModifiedBy>uctaren1</cp:lastModifiedBy>
  <cp:revision>1</cp:revision>
  <dcterms:created xsi:type="dcterms:W3CDTF">2014-08-21T14:03:00Z</dcterms:created>
  <dcterms:modified xsi:type="dcterms:W3CDTF">2014-08-21T14:04:00Z</dcterms:modified>
</cp:coreProperties>
</file>